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4"/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1"/>
        <w:gridCol w:w="1063"/>
        <w:gridCol w:w="1063"/>
        <w:gridCol w:w="1066"/>
        <w:gridCol w:w="1063"/>
        <w:gridCol w:w="1060"/>
        <w:gridCol w:w="1063"/>
        <w:gridCol w:w="1060"/>
        <w:gridCol w:w="1063"/>
        <w:gridCol w:w="1063"/>
        <w:gridCol w:w="1063"/>
        <w:gridCol w:w="1063"/>
        <w:gridCol w:w="1063"/>
      </w:tblGrid>
      <w:tr w:rsidR="0088150C" w:rsidTr="00245F30">
        <w:trPr>
          <w:trHeight w:val="979"/>
        </w:trPr>
        <w:tc>
          <w:tcPr>
            <w:tcW w:w="1417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150C" w:rsidRDefault="0088150C" w:rsidP="00245F30">
            <w:pPr>
              <w:widowControl/>
              <w:spacing w:line="480" w:lineRule="auto"/>
              <w:ind w:left="177"/>
              <w:jc w:val="left"/>
              <w:rPr>
                <w:rFonts w:ascii="华文中宋" w:eastAsia="华文中宋" w:hAnsi="华文中宋" w:cs="宋体"/>
                <w:b/>
              </w:rPr>
            </w:pPr>
            <w:r>
              <w:rPr>
                <w:rFonts w:ascii="黑体" w:eastAsia="黑体" w:hAnsi="黑体" w:cs="仿宋_GB2312" w:hint="eastAsia"/>
                <w:bCs/>
              </w:rPr>
              <w:t>附件1</w:t>
            </w:r>
          </w:p>
          <w:p w:rsidR="0088150C" w:rsidRDefault="0088150C" w:rsidP="00245F30">
            <w:pPr>
              <w:widowControl/>
              <w:spacing w:line="480" w:lineRule="auto"/>
              <w:ind w:left="177"/>
              <w:jc w:val="center"/>
              <w:rPr>
                <w:rFonts w:ascii="黑体" w:eastAsia="黑体" w:hAnsi="黑体" w:cs="方正小标宋_GBK"/>
                <w:b/>
                <w:bCs/>
                <w:sz w:val="36"/>
                <w:szCs w:val="36"/>
              </w:rPr>
            </w:pPr>
            <w:r>
              <w:rPr>
                <w:rFonts w:ascii="华文中宋" w:eastAsia="华文中宋" w:hAnsi="华文中宋" w:cs="宋体" w:hint="eastAsia"/>
                <w:b/>
                <w:sz w:val="36"/>
                <w:szCs w:val="36"/>
              </w:rPr>
              <w:t xml:space="preserve">              市区老旧营运车辆提前淘汰补助标准       </w:t>
            </w:r>
            <w:r>
              <w:rPr>
                <w:rFonts w:ascii="仿宋" w:eastAsia="仿宋" w:hAnsi="仿宋" w:cs="宋体" w:hint="eastAsia"/>
              </w:rPr>
              <w:t>（单位：万元）</w:t>
            </w:r>
          </w:p>
        </w:tc>
      </w:tr>
      <w:tr w:rsidR="0088150C" w:rsidTr="00245F30">
        <w:trPr>
          <w:trHeight w:val="1128"/>
        </w:trPr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:rsidR="0088150C" w:rsidRDefault="0088150C" w:rsidP="00245F30">
            <w:pPr>
              <w:widowControl/>
              <w:spacing w:line="365" w:lineRule="atLeast"/>
              <w:ind w:left="1"/>
              <w:jc w:val="center"/>
              <w:textAlignment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淘汰</w:t>
            </w:r>
          </w:p>
          <w:p w:rsidR="0088150C" w:rsidRDefault="0088150C" w:rsidP="00245F30">
            <w:pPr>
              <w:widowControl/>
              <w:spacing w:line="365" w:lineRule="atLeast"/>
              <w:ind w:left="1"/>
              <w:jc w:val="center"/>
              <w:textAlignment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范围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</w:tcBorders>
            <w:vAlign w:val="center"/>
          </w:tcPr>
          <w:p w:rsidR="0088150C" w:rsidRDefault="0088150C" w:rsidP="00245F30">
            <w:pPr>
              <w:widowControl/>
              <w:spacing w:line="365" w:lineRule="atLeast"/>
              <w:ind w:left="1"/>
              <w:textAlignment w:val="bottom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注册登记日期2009年12月31日（含）前老旧营运车辆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</w:tcBorders>
            <w:vAlign w:val="center"/>
          </w:tcPr>
          <w:p w:rsidR="0088150C" w:rsidRDefault="0088150C" w:rsidP="00245F30">
            <w:pPr>
              <w:widowControl/>
              <w:spacing w:line="365" w:lineRule="atLeast"/>
              <w:ind w:left="1"/>
              <w:textAlignment w:val="bottom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注册登记日期2010年的老旧营运车辆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</w:tcBorders>
            <w:vAlign w:val="center"/>
          </w:tcPr>
          <w:p w:rsidR="0088150C" w:rsidRDefault="0088150C" w:rsidP="00245F30">
            <w:pPr>
              <w:widowControl/>
              <w:spacing w:line="365" w:lineRule="atLeast"/>
              <w:ind w:left="1"/>
              <w:textAlignment w:val="bottom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注册登记日期2011年老旧营运车辆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88150C" w:rsidRDefault="0088150C" w:rsidP="00245F30">
            <w:pPr>
              <w:widowControl/>
              <w:spacing w:line="365" w:lineRule="atLeast"/>
              <w:ind w:left="1"/>
              <w:textAlignment w:val="bottom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注册登记日期2012年的老旧营运车辆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88150C" w:rsidRDefault="0088150C" w:rsidP="00245F30">
            <w:pPr>
              <w:widowControl/>
              <w:spacing w:line="365" w:lineRule="atLeast"/>
              <w:ind w:left="1"/>
              <w:textAlignment w:val="bottom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注册登记日期2013年及以后的老旧营运车辆</w:t>
            </w:r>
          </w:p>
        </w:tc>
      </w:tr>
      <w:tr w:rsidR="0088150C" w:rsidTr="00245F30">
        <w:trPr>
          <w:trHeight w:val="390"/>
        </w:trPr>
        <w:tc>
          <w:tcPr>
            <w:tcW w:w="1421" w:type="dxa"/>
            <w:vMerge w:val="restart"/>
            <w:vAlign w:val="center"/>
          </w:tcPr>
          <w:p w:rsidR="0088150C" w:rsidRDefault="0088150C" w:rsidP="00245F30">
            <w:pPr>
              <w:spacing w:line="365" w:lineRule="atLeast"/>
              <w:ind w:left="1"/>
              <w:jc w:val="center"/>
              <w:textAlignment w:val="bottom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退坡补助标准</w:t>
            </w:r>
          </w:p>
        </w:tc>
        <w:tc>
          <w:tcPr>
            <w:tcW w:w="1063" w:type="dxa"/>
            <w:vAlign w:val="center"/>
          </w:tcPr>
          <w:p w:rsidR="0088150C" w:rsidRDefault="0088150C" w:rsidP="00245F30">
            <w:pPr>
              <w:spacing w:line="365" w:lineRule="atLeast"/>
              <w:ind w:left="1"/>
              <w:jc w:val="center"/>
              <w:textAlignment w:val="bottom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①</w:t>
            </w:r>
          </w:p>
        </w:tc>
        <w:tc>
          <w:tcPr>
            <w:tcW w:w="1063" w:type="dxa"/>
            <w:vAlign w:val="center"/>
          </w:tcPr>
          <w:p w:rsidR="0088150C" w:rsidRDefault="0088150C" w:rsidP="00245F30">
            <w:pPr>
              <w:spacing w:line="365" w:lineRule="atLeast"/>
              <w:ind w:left="1"/>
              <w:jc w:val="center"/>
              <w:textAlignment w:val="bottom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②</w:t>
            </w:r>
          </w:p>
        </w:tc>
        <w:tc>
          <w:tcPr>
            <w:tcW w:w="1066" w:type="dxa"/>
            <w:vAlign w:val="center"/>
          </w:tcPr>
          <w:p w:rsidR="0088150C" w:rsidRDefault="0088150C" w:rsidP="00245F30">
            <w:pPr>
              <w:spacing w:line="365" w:lineRule="atLeast"/>
              <w:ind w:left="1"/>
              <w:jc w:val="center"/>
              <w:textAlignment w:val="bottom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③</w:t>
            </w:r>
          </w:p>
        </w:tc>
        <w:tc>
          <w:tcPr>
            <w:tcW w:w="1063" w:type="dxa"/>
            <w:vAlign w:val="center"/>
          </w:tcPr>
          <w:p w:rsidR="0088150C" w:rsidRDefault="0088150C" w:rsidP="00245F30">
            <w:pPr>
              <w:spacing w:line="365" w:lineRule="atLeast"/>
              <w:ind w:left="1"/>
              <w:jc w:val="center"/>
              <w:textAlignment w:val="bottom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①</w:t>
            </w:r>
          </w:p>
        </w:tc>
        <w:tc>
          <w:tcPr>
            <w:tcW w:w="1060" w:type="dxa"/>
            <w:vAlign w:val="center"/>
          </w:tcPr>
          <w:p w:rsidR="0088150C" w:rsidRDefault="0088150C" w:rsidP="00245F30">
            <w:pPr>
              <w:spacing w:line="365" w:lineRule="atLeast"/>
              <w:ind w:left="1"/>
              <w:jc w:val="center"/>
              <w:textAlignment w:val="bottom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②</w:t>
            </w:r>
          </w:p>
        </w:tc>
        <w:tc>
          <w:tcPr>
            <w:tcW w:w="1063" w:type="dxa"/>
            <w:vAlign w:val="center"/>
          </w:tcPr>
          <w:p w:rsidR="0088150C" w:rsidRDefault="0088150C" w:rsidP="00245F30">
            <w:pPr>
              <w:spacing w:line="365" w:lineRule="atLeast"/>
              <w:ind w:left="1"/>
              <w:jc w:val="center"/>
              <w:textAlignment w:val="bottom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③</w:t>
            </w:r>
          </w:p>
        </w:tc>
        <w:tc>
          <w:tcPr>
            <w:tcW w:w="1060" w:type="dxa"/>
            <w:vAlign w:val="center"/>
          </w:tcPr>
          <w:p w:rsidR="0088150C" w:rsidRDefault="0088150C" w:rsidP="00245F30">
            <w:pPr>
              <w:spacing w:line="365" w:lineRule="atLeast"/>
              <w:ind w:left="1"/>
              <w:jc w:val="center"/>
              <w:textAlignment w:val="bottom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①</w:t>
            </w:r>
          </w:p>
        </w:tc>
        <w:tc>
          <w:tcPr>
            <w:tcW w:w="1063" w:type="dxa"/>
            <w:vAlign w:val="center"/>
          </w:tcPr>
          <w:p w:rsidR="0088150C" w:rsidRDefault="0088150C" w:rsidP="00245F30">
            <w:pPr>
              <w:spacing w:line="365" w:lineRule="atLeast"/>
              <w:ind w:left="1"/>
              <w:jc w:val="center"/>
              <w:textAlignment w:val="bottom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②</w:t>
            </w:r>
          </w:p>
        </w:tc>
        <w:tc>
          <w:tcPr>
            <w:tcW w:w="1063" w:type="dxa"/>
            <w:vAlign w:val="center"/>
          </w:tcPr>
          <w:p w:rsidR="0088150C" w:rsidRDefault="0088150C" w:rsidP="00245F30">
            <w:pPr>
              <w:spacing w:line="365" w:lineRule="atLeast"/>
              <w:ind w:left="1"/>
              <w:jc w:val="center"/>
              <w:textAlignment w:val="bottom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①</w:t>
            </w:r>
          </w:p>
        </w:tc>
        <w:tc>
          <w:tcPr>
            <w:tcW w:w="1063" w:type="dxa"/>
            <w:vAlign w:val="center"/>
          </w:tcPr>
          <w:p w:rsidR="0088150C" w:rsidRDefault="0088150C" w:rsidP="00245F30">
            <w:pPr>
              <w:spacing w:line="365" w:lineRule="atLeast"/>
              <w:ind w:left="1"/>
              <w:jc w:val="center"/>
              <w:textAlignment w:val="bottom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②</w:t>
            </w:r>
          </w:p>
        </w:tc>
        <w:tc>
          <w:tcPr>
            <w:tcW w:w="1063" w:type="dxa"/>
            <w:vAlign w:val="center"/>
          </w:tcPr>
          <w:p w:rsidR="0088150C" w:rsidRDefault="0088150C" w:rsidP="00245F30">
            <w:pPr>
              <w:spacing w:line="365" w:lineRule="atLeast"/>
              <w:ind w:left="1"/>
              <w:jc w:val="center"/>
              <w:textAlignment w:val="bottom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①</w:t>
            </w:r>
          </w:p>
        </w:tc>
        <w:tc>
          <w:tcPr>
            <w:tcW w:w="1063" w:type="dxa"/>
            <w:vAlign w:val="center"/>
          </w:tcPr>
          <w:p w:rsidR="0088150C" w:rsidRDefault="0088150C" w:rsidP="00245F30">
            <w:pPr>
              <w:spacing w:line="365" w:lineRule="atLeast"/>
              <w:ind w:left="1"/>
              <w:jc w:val="center"/>
              <w:textAlignment w:val="bottom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②</w:t>
            </w:r>
          </w:p>
        </w:tc>
      </w:tr>
      <w:tr w:rsidR="0088150C" w:rsidTr="00245F30">
        <w:trPr>
          <w:cantSplit/>
          <w:trHeight w:val="2126"/>
        </w:trPr>
        <w:tc>
          <w:tcPr>
            <w:tcW w:w="1421" w:type="dxa"/>
            <w:vMerge/>
            <w:vAlign w:val="center"/>
          </w:tcPr>
          <w:p w:rsidR="0088150C" w:rsidRDefault="0088150C" w:rsidP="00245F30">
            <w:pPr>
              <w:widowControl/>
              <w:spacing w:line="365" w:lineRule="atLeast"/>
              <w:ind w:left="1"/>
              <w:jc w:val="center"/>
              <w:textAlignment w:val="bottom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063" w:type="dxa"/>
            <w:vAlign w:val="center"/>
          </w:tcPr>
          <w:p w:rsidR="0088150C" w:rsidRDefault="0088150C" w:rsidP="00245F30">
            <w:pPr>
              <w:spacing w:line="365" w:lineRule="atLeast"/>
              <w:textAlignment w:val="bottom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2019年12月31日之前淘汰</w:t>
            </w:r>
          </w:p>
        </w:tc>
        <w:tc>
          <w:tcPr>
            <w:tcW w:w="1063" w:type="dxa"/>
            <w:vAlign w:val="center"/>
          </w:tcPr>
          <w:p w:rsidR="0088150C" w:rsidRDefault="0088150C" w:rsidP="00245F30">
            <w:pPr>
              <w:spacing w:line="365" w:lineRule="atLeast"/>
              <w:ind w:left="1"/>
              <w:textAlignment w:val="bottom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2020年1月1日至6月30日间淘汰</w:t>
            </w:r>
          </w:p>
        </w:tc>
        <w:tc>
          <w:tcPr>
            <w:tcW w:w="1066" w:type="dxa"/>
            <w:vAlign w:val="center"/>
          </w:tcPr>
          <w:p w:rsidR="0088150C" w:rsidRDefault="0088150C" w:rsidP="00245F30">
            <w:pPr>
              <w:spacing w:line="365" w:lineRule="atLeast"/>
              <w:textAlignment w:val="bottom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2020年7月1日至12月31日间淘汰</w:t>
            </w:r>
          </w:p>
        </w:tc>
        <w:tc>
          <w:tcPr>
            <w:tcW w:w="1063" w:type="dxa"/>
            <w:vAlign w:val="center"/>
          </w:tcPr>
          <w:p w:rsidR="0088150C" w:rsidRDefault="0088150C" w:rsidP="00245F30">
            <w:pPr>
              <w:spacing w:line="365" w:lineRule="atLeast"/>
              <w:ind w:left="1"/>
              <w:textAlignment w:val="bottom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2019年12月31日之前淘汰</w:t>
            </w:r>
          </w:p>
        </w:tc>
        <w:tc>
          <w:tcPr>
            <w:tcW w:w="1060" w:type="dxa"/>
            <w:vAlign w:val="center"/>
          </w:tcPr>
          <w:p w:rsidR="0088150C" w:rsidRDefault="0088150C" w:rsidP="00245F30">
            <w:pPr>
              <w:spacing w:line="365" w:lineRule="atLeast"/>
              <w:textAlignment w:val="bottom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2020年1月1日至6月30日间淘汰</w:t>
            </w:r>
          </w:p>
        </w:tc>
        <w:tc>
          <w:tcPr>
            <w:tcW w:w="1063" w:type="dxa"/>
            <w:vAlign w:val="center"/>
          </w:tcPr>
          <w:p w:rsidR="0088150C" w:rsidRDefault="0088150C" w:rsidP="00245F30">
            <w:pPr>
              <w:spacing w:line="365" w:lineRule="atLeast"/>
              <w:textAlignment w:val="bottom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2020年7月1日至12月31日间淘汰</w:t>
            </w:r>
          </w:p>
        </w:tc>
        <w:tc>
          <w:tcPr>
            <w:tcW w:w="1060" w:type="dxa"/>
            <w:vAlign w:val="center"/>
          </w:tcPr>
          <w:p w:rsidR="0088150C" w:rsidRDefault="0088150C" w:rsidP="00245F30">
            <w:pPr>
              <w:spacing w:line="365" w:lineRule="atLeast"/>
              <w:textAlignment w:val="bottom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2020年6月30日之前淘汰</w:t>
            </w:r>
          </w:p>
        </w:tc>
        <w:tc>
          <w:tcPr>
            <w:tcW w:w="1063" w:type="dxa"/>
            <w:vAlign w:val="center"/>
          </w:tcPr>
          <w:p w:rsidR="0088150C" w:rsidRDefault="0088150C" w:rsidP="00245F30">
            <w:pPr>
              <w:spacing w:line="365" w:lineRule="atLeast"/>
              <w:ind w:left="1"/>
              <w:textAlignment w:val="bottom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2020年7月1日至12月31日间淘汰</w:t>
            </w:r>
          </w:p>
        </w:tc>
        <w:tc>
          <w:tcPr>
            <w:tcW w:w="1063" w:type="dxa"/>
            <w:vAlign w:val="center"/>
          </w:tcPr>
          <w:p w:rsidR="0088150C" w:rsidRDefault="0088150C" w:rsidP="00245F30">
            <w:pPr>
              <w:spacing w:line="365" w:lineRule="atLeast"/>
              <w:ind w:left="1"/>
              <w:textAlignment w:val="bottom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2020年6月30日之前淘汰</w:t>
            </w:r>
          </w:p>
        </w:tc>
        <w:tc>
          <w:tcPr>
            <w:tcW w:w="1063" w:type="dxa"/>
            <w:vAlign w:val="center"/>
          </w:tcPr>
          <w:p w:rsidR="0088150C" w:rsidRDefault="0088150C" w:rsidP="00245F30">
            <w:pPr>
              <w:spacing w:line="365" w:lineRule="atLeast"/>
              <w:ind w:left="1"/>
              <w:textAlignment w:val="bottom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2020年7月1日至12月31日间淘汰</w:t>
            </w:r>
          </w:p>
        </w:tc>
        <w:tc>
          <w:tcPr>
            <w:tcW w:w="1063" w:type="dxa"/>
            <w:vAlign w:val="center"/>
          </w:tcPr>
          <w:p w:rsidR="0088150C" w:rsidRDefault="0088150C" w:rsidP="00245F30">
            <w:pPr>
              <w:spacing w:line="365" w:lineRule="atLeast"/>
              <w:ind w:left="1"/>
              <w:textAlignment w:val="bottom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2020年6月30日之前淘汰</w:t>
            </w:r>
          </w:p>
        </w:tc>
        <w:tc>
          <w:tcPr>
            <w:tcW w:w="1063" w:type="dxa"/>
            <w:vAlign w:val="center"/>
          </w:tcPr>
          <w:p w:rsidR="0088150C" w:rsidRDefault="0088150C" w:rsidP="00245F30">
            <w:pPr>
              <w:spacing w:line="365" w:lineRule="atLeast"/>
              <w:ind w:left="1"/>
              <w:textAlignment w:val="bottom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2020年7月1日至12月31日间淘汰</w:t>
            </w:r>
          </w:p>
        </w:tc>
      </w:tr>
      <w:tr w:rsidR="0088150C" w:rsidTr="00245F30">
        <w:trPr>
          <w:trHeight w:val="659"/>
        </w:trPr>
        <w:tc>
          <w:tcPr>
            <w:tcW w:w="1421" w:type="dxa"/>
            <w:vAlign w:val="center"/>
          </w:tcPr>
          <w:p w:rsidR="0088150C" w:rsidRDefault="0088150C" w:rsidP="00245F30">
            <w:pPr>
              <w:widowControl/>
              <w:spacing w:line="365" w:lineRule="atLeast"/>
              <w:ind w:left="1"/>
              <w:jc w:val="center"/>
              <w:textAlignment w:val="bottom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微（轻）型</w:t>
            </w:r>
          </w:p>
        </w:tc>
        <w:tc>
          <w:tcPr>
            <w:tcW w:w="1063" w:type="dxa"/>
            <w:vAlign w:val="center"/>
          </w:tcPr>
          <w:p w:rsidR="0088150C" w:rsidRDefault="0088150C" w:rsidP="00245F30">
            <w:pPr>
              <w:widowControl/>
              <w:spacing w:line="365" w:lineRule="atLeast"/>
              <w:ind w:left="1"/>
              <w:jc w:val="center"/>
              <w:textAlignment w:val="bottom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0.8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88150C" w:rsidRDefault="0088150C" w:rsidP="00245F30">
            <w:pPr>
              <w:widowControl/>
              <w:spacing w:line="365" w:lineRule="atLeast"/>
              <w:ind w:left="1"/>
              <w:jc w:val="center"/>
              <w:textAlignment w:val="bottom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0.48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88150C" w:rsidRDefault="0088150C" w:rsidP="00245F30">
            <w:pPr>
              <w:widowControl/>
              <w:spacing w:line="365" w:lineRule="atLeast"/>
              <w:ind w:left="1"/>
              <w:jc w:val="center"/>
              <w:textAlignment w:val="bottom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0.24</w:t>
            </w:r>
          </w:p>
        </w:tc>
        <w:tc>
          <w:tcPr>
            <w:tcW w:w="1063" w:type="dxa"/>
            <w:vAlign w:val="center"/>
          </w:tcPr>
          <w:p w:rsidR="0088150C" w:rsidRDefault="0088150C" w:rsidP="00245F30">
            <w:pPr>
              <w:widowControl/>
              <w:spacing w:line="365" w:lineRule="atLeast"/>
              <w:ind w:left="1"/>
              <w:jc w:val="center"/>
              <w:textAlignment w:val="bottom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060" w:type="dxa"/>
            <w:vAlign w:val="center"/>
          </w:tcPr>
          <w:p w:rsidR="0088150C" w:rsidRDefault="0088150C" w:rsidP="00245F30">
            <w:pPr>
              <w:widowControl/>
              <w:spacing w:line="365" w:lineRule="atLeast"/>
              <w:ind w:left="1"/>
              <w:jc w:val="center"/>
              <w:textAlignment w:val="bottom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0.6</w:t>
            </w:r>
          </w:p>
        </w:tc>
        <w:tc>
          <w:tcPr>
            <w:tcW w:w="1063" w:type="dxa"/>
            <w:vAlign w:val="center"/>
          </w:tcPr>
          <w:p w:rsidR="0088150C" w:rsidRDefault="0088150C" w:rsidP="00245F30">
            <w:pPr>
              <w:widowControl/>
              <w:spacing w:line="365" w:lineRule="atLeast"/>
              <w:ind w:left="1"/>
              <w:jc w:val="center"/>
              <w:textAlignment w:val="bottom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0.3</w:t>
            </w:r>
          </w:p>
        </w:tc>
        <w:tc>
          <w:tcPr>
            <w:tcW w:w="1060" w:type="dxa"/>
            <w:vAlign w:val="center"/>
          </w:tcPr>
          <w:p w:rsidR="0088150C" w:rsidRDefault="0088150C" w:rsidP="00245F30">
            <w:pPr>
              <w:widowControl/>
              <w:spacing w:line="365" w:lineRule="atLeast"/>
              <w:ind w:left="1"/>
              <w:jc w:val="center"/>
              <w:textAlignment w:val="bottom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1.2</w:t>
            </w:r>
          </w:p>
        </w:tc>
        <w:tc>
          <w:tcPr>
            <w:tcW w:w="1063" w:type="dxa"/>
            <w:vAlign w:val="center"/>
          </w:tcPr>
          <w:p w:rsidR="0088150C" w:rsidRDefault="0088150C" w:rsidP="00245F30">
            <w:pPr>
              <w:widowControl/>
              <w:spacing w:line="365" w:lineRule="atLeast"/>
              <w:ind w:left="1"/>
              <w:jc w:val="center"/>
              <w:textAlignment w:val="bottom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0.72</w:t>
            </w:r>
          </w:p>
        </w:tc>
        <w:tc>
          <w:tcPr>
            <w:tcW w:w="1063" w:type="dxa"/>
            <w:vAlign w:val="center"/>
          </w:tcPr>
          <w:p w:rsidR="0088150C" w:rsidRDefault="0088150C" w:rsidP="00245F30">
            <w:pPr>
              <w:widowControl/>
              <w:spacing w:line="365" w:lineRule="atLeast"/>
              <w:ind w:left="1"/>
              <w:jc w:val="center"/>
              <w:textAlignment w:val="bottom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1.4</w:t>
            </w:r>
          </w:p>
        </w:tc>
        <w:tc>
          <w:tcPr>
            <w:tcW w:w="1063" w:type="dxa"/>
            <w:vAlign w:val="center"/>
          </w:tcPr>
          <w:p w:rsidR="0088150C" w:rsidRDefault="0088150C" w:rsidP="00245F30">
            <w:pPr>
              <w:widowControl/>
              <w:spacing w:line="365" w:lineRule="atLeast"/>
              <w:ind w:left="1"/>
              <w:jc w:val="center"/>
              <w:textAlignment w:val="bottom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0.84</w:t>
            </w:r>
          </w:p>
        </w:tc>
        <w:tc>
          <w:tcPr>
            <w:tcW w:w="1063" w:type="dxa"/>
            <w:vAlign w:val="center"/>
          </w:tcPr>
          <w:p w:rsidR="0088150C" w:rsidRDefault="0088150C" w:rsidP="00245F30">
            <w:pPr>
              <w:widowControl/>
              <w:spacing w:line="365" w:lineRule="atLeast"/>
              <w:ind w:left="1"/>
              <w:jc w:val="center"/>
              <w:textAlignment w:val="bottom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1.6</w:t>
            </w:r>
          </w:p>
        </w:tc>
        <w:tc>
          <w:tcPr>
            <w:tcW w:w="1063" w:type="dxa"/>
            <w:vAlign w:val="center"/>
          </w:tcPr>
          <w:p w:rsidR="0088150C" w:rsidRDefault="0088150C" w:rsidP="00245F30">
            <w:pPr>
              <w:widowControl/>
              <w:spacing w:line="365" w:lineRule="atLeast"/>
              <w:ind w:left="1"/>
              <w:jc w:val="center"/>
              <w:textAlignment w:val="bottom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0.96</w:t>
            </w:r>
          </w:p>
        </w:tc>
      </w:tr>
      <w:tr w:rsidR="0088150C" w:rsidTr="00245F30">
        <w:trPr>
          <w:trHeight w:val="616"/>
        </w:trPr>
        <w:tc>
          <w:tcPr>
            <w:tcW w:w="1421" w:type="dxa"/>
            <w:vAlign w:val="center"/>
          </w:tcPr>
          <w:p w:rsidR="0088150C" w:rsidRDefault="0088150C" w:rsidP="00245F30">
            <w:pPr>
              <w:widowControl/>
              <w:spacing w:line="365" w:lineRule="atLeast"/>
              <w:ind w:left="1"/>
              <w:jc w:val="center"/>
              <w:textAlignment w:val="bottom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中型</w:t>
            </w:r>
          </w:p>
        </w:tc>
        <w:tc>
          <w:tcPr>
            <w:tcW w:w="1063" w:type="dxa"/>
            <w:vAlign w:val="center"/>
          </w:tcPr>
          <w:p w:rsidR="0088150C" w:rsidRDefault="0088150C" w:rsidP="00245F30">
            <w:pPr>
              <w:widowControl/>
              <w:spacing w:line="365" w:lineRule="atLeast"/>
              <w:ind w:left="1"/>
              <w:jc w:val="center"/>
              <w:textAlignment w:val="bottom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1.6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88150C" w:rsidRDefault="0088150C" w:rsidP="00245F30">
            <w:pPr>
              <w:widowControl/>
              <w:spacing w:line="365" w:lineRule="atLeast"/>
              <w:ind w:left="1"/>
              <w:jc w:val="center"/>
              <w:textAlignment w:val="bottom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0.96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88150C" w:rsidRDefault="0088150C" w:rsidP="00245F30">
            <w:pPr>
              <w:widowControl/>
              <w:spacing w:line="365" w:lineRule="atLeast"/>
              <w:ind w:left="1"/>
              <w:jc w:val="center"/>
              <w:textAlignment w:val="bottom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0.48</w:t>
            </w:r>
          </w:p>
        </w:tc>
        <w:tc>
          <w:tcPr>
            <w:tcW w:w="1063" w:type="dxa"/>
            <w:vAlign w:val="center"/>
          </w:tcPr>
          <w:p w:rsidR="0088150C" w:rsidRDefault="0088150C" w:rsidP="00245F30">
            <w:pPr>
              <w:widowControl/>
              <w:spacing w:line="365" w:lineRule="atLeast"/>
              <w:ind w:left="1"/>
              <w:jc w:val="center"/>
              <w:textAlignment w:val="bottom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1060" w:type="dxa"/>
            <w:vAlign w:val="center"/>
          </w:tcPr>
          <w:p w:rsidR="0088150C" w:rsidRDefault="0088150C" w:rsidP="00245F30">
            <w:pPr>
              <w:widowControl/>
              <w:spacing w:line="365" w:lineRule="atLeast"/>
              <w:ind w:left="1"/>
              <w:jc w:val="center"/>
              <w:textAlignment w:val="bottom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1.2</w:t>
            </w:r>
          </w:p>
        </w:tc>
        <w:tc>
          <w:tcPr>
            <w:tcW w:w="1063" w:type="dxa"/>
            <w:vAlign w:val="center"/>
          </w:tcPr>
          <w:p w:rsidR="0088150C" w:rsidRDefault="0088150C" w:rsidP="00245F30">
            <w:pPr>
              <w:widowControl/>
              <w:spacing w:line="365" w:lineRule="atLeast"/>
              <w:ind w:left="1"/>
              <w:jc w:val="center"/>
              <w:textAlignment w:val="bottom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0.6</w:t>
            </w:r>
          </w:p>
        </w:tc>
        <w:tc>
          <w:tcPr>
            <w:tcW w:w="1060" w:type="dxa"/>
            <w:vAlign w:val="center"/>
          </w:tcPr>
          <w:p w:rsidR="0088150C" w:rsidRDefault="0088150C" w:rsidP="00245F30">
            <w:pPr>
              <w:widowControl/>
              <w:spacing w:line="365" w:lineRule="atLeast"/>
              <w:ind w:left="1"/>
              <w:jc w:val="center"/>
              <w:textAlignment w:val="bottom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2.4</w:t>
            </w:r>
          </w:p>
        </w:tc>
        <w:tc>
          <w:tcPr>
            <w:tcW w:w="1063" w:type="dxa"/>
            <w:vAlign w:val="center"/>
          </w:tcPr>
          <w:p w:rsidR="0088150C" w:rsidRDefault="0088150C" w:rsidP="00245F30">
            <w:pPr>
              <w:widowControl/>
              <w:spacing w:line="365" w:lineRule="atLeast"/>
              <w:ind w:left="1"/>
              <w:jc w:val="center"/>
              <w:textAlignment w:val="bottom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1.44</w:t>
            </w:r>
          </w:p>
        </w:tc>
        <w:tc>
          <w:tcPr>
            <w:tcW w:w="1063" w:type="dxa"/>
            <w:vAlign w:val="center"/>
          </w:tcPr>
          <w:p w:rsidR="0088150C" w:rsidRDefault="0088150C" w:rsidP="00245F30">
            <w:pPr>
              <w:widowControl/>
              <w:spacing w:line="365" w:lineRule="atLeast"/>
              <w:ind w:left="1"/>
              <w:jc w:val="center"/>
              <w:textAlignment w:val="bottom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2.8</w:t>
            </w:r>
          </w:p>
        </w:tc>
        <w:tc>
          <w:tcPr>
            <w:tcW w:w="1063" w:type="dxa"/>
            <w:vAlign w:val="center"/>
          </w:tcPr>
          <w:p w:rsidR="0088150C" w:rsidRDefault="0088150C" w:rsidP="00245F30">
            <w:pPr>
              <w:widowControl/>
              <w:spacing w:line="365" w:lineRule="atLeast"/>
              <w:ind w:left="1"/>
              <w:jc w:val="center"/>
              <w:textAlignment w:val="bottom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1.68</w:t>
            </w:r>
          </w:p>
        </w:tc>
        <w:tc>
          <w:tcPr>
            <w:tcW w:w="1063" w:type="dxa"/>
            <w:vAlign w:val="center"/>
          </w:tcPr>
          <w:p w:rsidR="0088150C" w:rsidRDefault="0088150C" w:rsidP="00245F30">
            <w:pPr>
              <w:widowControl/>
              <w:spacing w:line="365" w:lineRule="atLeast"/>
              <w:ind w:left="1"/>
              <w:jc w:val="center"/>
              <w:textAlignment w:val="bottom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3.2</w:t>
            </w:r>
          </w:p>
        </w:tc>
        <w:tc>
          <w:tcPr>
            <w:tcW w:w="1063" w:type="dxa"/>
            <w:vAlign w:val="center"/>
          </w:tcPr>
          <w:p w:rsidR="0088150C" w:rsidRDefault="0088150C" w:rsidP="00245F30">
            <w:pPr>
              <w:widowControl/>
              <w:spacing w:line="365" w:lineRule="atLeast"/>
              <w:ind w:left="1"/>
              <w:jc w:val="center"/>
              <w:textAlignment w:val="bottom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1.92</w:t>
            </w:r>
          </w:p>
        </w:tc>
      </w:tr>
      <w:tr w:rsidR="0088150C" w:rsidTr="00245F30">
        <w:trPr>
          <w:trHeight w:val="567"/>
        </w:trPr>
        <w:tc>
          <w:tcPr>
            <w:tcW w:w="1421" w:type="dxa"/>
            <w:vAlign w:val="center"/>
          </w:tcPr>
          <w:p w:rsidR="0088150C" w:rsidRDefault="0088150C" w:rsidP="00245F30">
            <w:pPr>
              <w:widowControl/>
              <w:spacing w:line="365" w:lineRule="atLeast"/>
              <w:ind w:left="1"/>
              <w:jc w:val="center"/>
              <w:textAlignment w:val="bottom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重型</w:t>
            </w:r>
          </w:p>
        </w:tc>
        <w:tc>
          <w:tcPr>
            <w:tcW w:w="1063" w:type="dxa"/>
            <w:vAlign w:val="center"/>
          </w:tcPr>
          <w:p w:rsidR="0088150C" w:rsidRDefault="0088150C" w:rsidP="00245F30">
            <w:pPr>
              <w:widowControl/>
              <w:spacing w:line="365" w:lineRule="atLeast"/>
              <w:ind w:left="1"/>
              <w:jc w:val="center"/>
              <w:textAlignment w:val="bottom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2.4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0C" w:rsidRDefault="0088150C" w:rsidP="00245F30">
            <w:pPr>
              <w:widowControl/>
              <w:spacing w:line="365" w:lineRule="atLeast"/>
              <w:ind w:left="1"/>
              <w:jc w:val="center"/>
              <w:textAlignment w:val="bottom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1.44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0C" w:rsidRDefault="0088150C" w:rsidP="00245F30">
            <w:pPr>
              <w:widowControl/>
              <w:spacing w:line="365" w:lineRule="atLeast"/>
              <w:ind w:left="1"/>
              <w:jc w:val="center"/>
              <w:textAlignment w:val="bottom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0.72</w:t>
            </w:r>
          </w:p>
        </w:tc>
        <w:tc>
          <w:tcPr>
            <w:tcW w:w="1063" w:type="dxa"/>
            <w:vAlign w:val="center"/>
          </w:tcPr>
          <w:p w:rsidR="0088150C" w:rsidRDefault="0088150C" w:rsidP="00245F30">
            <w:pPr>
              <w:widowControl/>
              <w:spacing w:line="365" w:lineRule="atLeast"/>
              <w:ind w:left="1"/>
              <w:jc w:val="center"/>
              <w:textAlignment w:val="bottom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1060" w:type="dxa"/>
            <w:vAlign w:val="center"/>
          </w:tcPr>
          <w:p w:rsidR="0088150C" w:rsidRDefault="0088150C" w:rsidP="00245F30">
            <w:pPr>
              <w:widowControl/>
              <w:spacing w:line="365" w:lineRule="atLeast"/>
              <w:ind w:left="1"/>
              <w:jc w:val="center"/>
              <w:textAlignment w:val="bottom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1.8</w:t>
            </w:r>
          </w:p>
        </w:tc>
        <w:tc>
          <w:tcPr>
            <w:tcW w:w="1063" w:type="dxa"/>
            <w:vAlign w:val="center"/>
          </w:tcPr>
          <w:p w:rsidR="0088150C" w:rsidRDefault="0088150C" w:rsidP="00245F30">
            <w:pPr>
              <w:widowControl/>
              <w:spacing w:line="365" w:lineRule="atLeast"/>
              <w:ind w:left="1"/>
              <w:jc w:val="center"/>
              <w:textAlignment w:val="bottom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0.9</w:t>
            </w:r>
          </w:p>
        </w:tc>
        <w:tc>
          <w:tcPr>
            <w:tcW w:w="1060" w:type="dxa"/>
            <w:vAlign w:val="center"/>
          </w:tcPr>
          <w:p w:rsidR="0088150C" w:rsidRDefault="0088150C" w:rsidP="00245F30">
            <w:pPr>
              <w:widowControl/>
              <w:spacing w:line="365" w:lineRule="atLeast"/>
              <w:ind w:left="1"/>
              <w:jc w:val="center"/>
              <w:textAlignment w:val="bottom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3.4</w:t>
            </w:r>
          </w:p>
        </w:tc>
        <w:tc>
          <w:tcPr>
            <w:tcW w:w="1063" w:type="dxa"/>
            <w:vAlign w:val="center"/>
          </w:tcPr>
          <w:p w:rsidR="0088150C" w:rsidRDefault="0088150C" w:rsidP="00245F30">
            <w:pPr>
              <w:widowControl/>
              <w:spacing w:line="365" w:lineRule="atLeast"/>
              <w:ind w:left="1"/>
              <w:jc w:val="center"/>
              <w:textAlignment w:val="bottom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2.04</w:t>
            </w:r>
          </w:p>
        </w:tc>
        <w:tc>
          <w:tcPr>
            <w:tcW w:w="1063" w:type="dxa"/>
            <w:vAlign w:val="center"/>
          </w:tcPr>
          <w:p w:rsidR="0088150C" w:rsidRDefault="0088150C" w:rsidP="00245F30">
            <w:pPr>
              <w:widowControl/>
              <w:spacing w:line="365" w:lineRule="atLeast"/>
              <w:ind w:left="1"/>
              <w:jc w:val="center"/>
              <w:textAlignment w:val="bottom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3.8</w:t>
            </w:r>
          </w:p>
        </w:tc>
        <w:tc>
          <w:tcPr>
            <w:tcW w:w="1063" w:type="dxa"/>
            <w:vAlign w:val="center"/>
          </w:tcPr>
          <w:p w:rsidR="0088150C" w:rsidRDefault="0088150C" w:rsidP="00245F30">
            <w:pPr>
              <w:widowControl/>
              <w:spacing w:line="365" w:lineRule="atLeast"/>
              <w:ind w:left="1"/>
              <w:jc w:val="center"/>
              <w:textAlignment w:val="bottom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2.28</w:t>
            </w:r>
          </w:p>
        </w:tc>
        <w:tc>
          <w:tcPr>
            <w:tcW w:w="1063" w:type="dxa"/>
            <w:vAlign w:val="center"/>
          </w:tcPr>
          <w:p w:rsidR="0088150C" w:rsidRDefault="0088150C" w:rsidP="00245F30">
            <w:pPr>
              <w:widowControl/>
              <w:spacing w:line="365" w:lineRule="atLeast"/>
              <w:ind w:left="1"/>
              <w:jc w:val="center"/>
              <w:textAlignment w:val="bottom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4.2</w:t>
            </w:r>
          </w:p>
        </w:tc>
        <w:tc>
          <w:tcPr>
            <w:tcW w:w="1063" w:type="dxa"/>
            <w:vAlign w:val="center"/>
          </w:tcPr>
          <w:p w:rsidR="0088150C" w:rsidRDefault="0088150C" w:rsidP="00245F30">
            <w:pPr>
              <w:widowControl/>
              <w:spacing w:line="365" w:lineRule="atLeast"/>
              <w:ind w:left="1"/>
              <w:jc w:val="center"/>
              <w:textAlignment w:val="bottom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2.52</w:t>
            </w:r>
          </w:p>
        </w:tc>
      </w:tr>
      <w:tr w:rsidR="0088150C" w:rsidTr="00245F30">
        <w:trPr>
          <w:trHeight w:val="632"/>
        </w:trPr>
        <w:tc>
          <w:tcPr>
            <w:tcW w:w="14174" w:type="dxa"/>
            <w:gridSpan w:val="13"/>
            <w:vAlign w:val="center"/>
          </w:tcPr>
          <w:p w:rsidR="0088150C" w:rsidRDefault="0088150C" w:rsidP="00245F30">
            <w:pPr>
              <w:spacing w:line="365" w:lineRule="atLeast"/>
              <w:ind w:left="1"/>
              <w:textAlignment w:val="bottom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说明：微（轻）型车小于等于4500kg，中型车为总质量大于4500kg且小于12000kg，重型车为总质量大于等于12000kg。</w:t>
            </w:r>
          </w:p>
        </w:tc>
      </w:tr>
    </w:tbl>
    <w:p w:rsidR="00E835A9" w:rsidRPr="0088150C" w:rsidRDefault="00E835A9"/>
    <w:sectPr w:rsidR="00E835A9" w:rsidRPr="0088150C" w:rsidSect="0088150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5A9" w:rsidRDefault="00E835A9" w:rsidP="0088150C">
      <w:r>
        <w:separator/>
      </w:r>
    </w:p>
  </w:endnote>
  <w:endnote w:type="continuationSeparator" w:id="1">
    <w:p w:rsidR="00E835A9" w:rsidRDefault="00E835A9" w:rsidP="00881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5A9" w:rsidRDefault="00E835A9" w:rsidP="0088150C">
      <w:r>
        <w:separator/>
      </w:r>
    </w:p>
  </w:footnote>
  <w:footnote w:type="continuationSeparator" w:id="1">
    <w:p w:rsidR="00E835A9" w:rsidRDefault="00E835A9" w:rsidP="008815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150C"/>
    <w:rsid w:val="0088150C"/>
    <w:rsid w:val="00E8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50C"/>
    <w:pPr>
      <w:widowControl w:val="0"/>
      <w:jc w:val="both"/>
    </w:pPr>
    <w:rPr>
      <w:rFonts w:ascii="Times New Roman" w:eastAsia="仿宋_GB2312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15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15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15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15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>Microsoft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</dc:creator>
  <cp:keywords/>
  <dc:description/>
  <cp:lastModifiedBy>ZX</cp:lastModifiedBy>
  <cp:revision>2</cp:revision>
  <dcterms:created xsi:type="dcterms:W3CDTF">2019-11-13T09:22:00Z</dcterms:created>
  <dcterms:modified xsi:type="dcterms:W3CDTF">2019-11-13T09:22:00Z</dcterms:modified>
</cp:coreProperties>
</file>